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B428" w14:textId="5D31F01E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RB ESPI </w:t>
      </w:r>
      <w:r w:rsidR="007746D9">
        <w:rPr>
          <w:rFonts w:asciiTheme="minorHAnsi" w:hAnsiTheme="minorHAnsi"/>
          <w:b/>
          <w:sz w:val="22"/>
        </w:rPr>
        <w:t>2</w:t>
      </w:r>
      <w:r>
        <w:rPr>
          <w:rFonts w:asciiTheme="minorHAnsi" w:hAnsiTheme="minorHAnsi"/>
          <w:b/>
          <w:sz w:val="22"/>
        </w:rPr>
        <w:t>/20</w:t>
      </w:r>
      <w:r w:rsidR="00022480">
        <w:rPr>
          <w:rFonts w:asciiTheme="minorHAnsi" w:hAnsiTheme="minorHAnsi"/>
          <w:b/>
          <w:sz w:val="22"/>
        </w:rPr>
        <w:t>2</w:t>
      </w:r>
      <w:r w:rsidR="007746D9">
        <w:rPr>
          <w:rFonts w:asciiTheme="minorHAnsi" w:hAnsiTheme="minorHAnsi"/>
          <w:b/>
          <w:sz w:val="22"/>
        </w:rPr>
        <w:t>1</w:t>
      </w:r>
    </w:p>
    <w:p w14:paraId="32D16BBA" w14:textId="77777777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271E8887" w14:textId="1C823E43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Data sporządzenia:</w:t>
      </w:r>
      <w:r>
        <w:rPr>
          <w:rFonts w:asciiTheme="minorHAnsi" w:hAnsiTheme="minorHAnsi"/>
          <w:sz w:val="22"/>
        </w:rPr>
        <w:t xml:space="preserve"> </w:t>
      </w:r>
      <w:r w:rsidR="00022480">
        <w:rPr>
          <w:rFonts w:asciiTheme="minorHAnsi" w:hAnsiTheme="minorHAnsi"/>
          <w:sz w:val="22"/>
        </w:rPr>
        <w:t>202</w:t>
      </w:r>
      <w:r w:rsidR="007746D9">
        <w:rPr>
          <w:rFonts w:asciiTheme="minorHAnsi" w:hAnsiTheme="minorHAnsi"/>
          <w:sz w:val="22"/>
        </w:rPr>
        <w:t>1</w:t>
      </w:r>
      <w:r w:rsidR="00022480">
        <w:rPr>
          <w:rFonts w:asciiTheme="minorHAnsi" w:hAnsiTheme="minorHAnsi"/>
          <w:sz w:val="22"/>
        </w:rPr>
        <w:t>-0</w:t>
      </w:r>
      <w:r w:rsidR="007746D9">
        <w:rPr>
          <w:rFonts w:asciiTheme="minorHAnsi" w:hAnsiTheme="minorHAnsi"/>
          <w:sz w:val="22"/>
        </w:rPr>
        <w:t>3</w:t>
      </w:r>
      <w:r w:rsidR="00022480">
        <w:rPr>
          <w:rFonts w:asciiTheme="minorHAnsi" w:hAnsiTheme="minorHAnsi"/>
          <w:sz w:val="22"/>
        </w:rPr>
        <w:t>-</w:t>
      </w:r>
      <w:r w:rsidR="007746D9">
        <w:rPr>
          <w:rFonts w:asciiTheme="minorHAnsi" w:hAnsiTheme="minorHAnsi"/>
          <w:sz w:val="22"/>
        </w:rPr>
        <w:t>03</w:t>
      </w:r>
    </w:p>
    <w:p w14:paraId="5968613B" w14:textId="77777777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14670B7F" w14:textId="3E009388" w:rsidR="00772D62" w:rsidRPr="007746D9" w:rsidRDefault="00772D62" w:rsidP="007746D9">
      <w:pPr>
        <w:pStyle w:val="Default"/>
        <w:rPr>
          <w:lang w:val="pl-PL"/>
        </w:rPr>
      </w:pPr>
      <w:r w:rsidRPr="007746D9">
        <w:rPr>
          <w:rFonts w:asciiTheme="minorHAnsi" w:hAnsiTheme="minorHAnsi" w:cstheme="minorBidi"/>
          <w:b/>
          <w:bCs/>
          <w:sz w:val="22"/>
          <w:lang w:val="pl-PL"/>
        </w:rPr>
        <w:t>T</w:t>
      </w:r>
      <w:r w:rsidR="007746D9" w:rsidRPr="007746D9">
        <w:rPr>
          <w:rFonts w:asciiTheme="minorHAnsi" w:hAnsiTheme="minorHAnsi" w:cstheme="minorBidi"/>
          <w:b/>
          <w:bCs/>
          <w:sz w:val="22"/>
          <w:lang w:val="pl-PL"/>
        </w:rPr>
        <w:t>ytuł</w:t>
      </w:r>
      <w:r w:rsidRPr="007746D9">
        <w:rPr>
          <w:rFonts w:asciiTheme="minorHAnsi" w:hAnsiTheme="minorHAnsi" w:cstheme="minorBidi"/>
          <w:b/>
          <w:bCs/>
          <w:sz w:val="22"/>
          <w:lang w:val="pl-PL"/>
        </w:rPr>
        <w:t>:</w:t>
      </w:r>
      <w:r w:rsidRPr="007746D9">
        <w:rPr>
          <w:rFonts w:asciiTheme="minorHAnsi" w:hAnsiTheme="minorHAnsi" w:cstheme="minorBidi"/>
          <w:sz w:val="22"/>
          <w:lang w:val="pl-PL"/>
        </w:rPr>
        <w:t xml:space="preserve"> </w:t>
      </w:r>
      <w:r w:rsidR="007F13AF" w:rsidRPr="007746D9">
        <w:rPr>
          <w:rFonts w:asciiTheme="minorHAnsi" w:hAnsiTheme="minorHAnsi" w:cstheme="minorBidi"/>
          <w:sz w:val="22"/>
          <w:lang w:val="pl-PL"/>
        </w:rPr>
        <w:t>Zawarcie umowy z</w:t>
      </w:r>
      <w:r w:rsidR="00976B89">
        <w:rPr>
          <w:rFonts w:asciiTheme="minorHAnsi" w:hAnsiTheme="minorHAnsi" w:cstheme="minorBidi"/>
          <w:sz w:val="22"/>
          <w:lang w:val="pl-PL"/>
        </w:rPr>
        <w:t>e spółką</w:t>
      </w:r>
      <w:r w:rsidR="007746D9">
        <w:rPr>
          <w:rFonts w:asciiTheme="minorHAnsi" w:hAnsiTheme="minorHAnsi" w:cstheme="minorBidi"/>
          <w:sz w:val="22"/>
          <w:lang w:val="pl-PL"/>
        </w:rPr>
        <w:t xml:space="preserve"> PROCIDIS </w:t>
      </w:r>
    </w:p>
    <w:p w14:paraId="5030D2AA" w14:textId="77777777" w:rsidR="00772D62" w:rsidRPr="00801319" w:rsidRDefault="00772D62" w:rsidP="00772D62">
      <w:pPr>
        <w:pStyle w:val="Nagwek1"/>
        <w:spacing w:before="0" w:beforeAutospacing="0" w:after="0" w:afterAutospacing="0" w:line="288" w:lineRule="auto"/>
        <w:jc w:val="both"/>
        <w:rPr>
          <w:bCs w:val="0"/>
          <w:sz w:val="22"/>
          <w:szCs w:val="22"/>
        </w:rPr>
      </w:pPr>
    </w:p>
    <w:p w14:paraId="11436E1A" w14:textId="03532D66" w:rsidR="00772D62" w:rsidRP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772D62">
        <w:rPr>
          <w:rFonts w:asciiTheme="minorHAnsi" w:eastAsiaTheme="minorHAnsi" w:hAnsiTheme="minorHAnsi" w:cstheme="minorBidi"/>
          <w:b/>
          <w:sz w:val="22"/>
          <w:lang w:eastAsia="en-US"/>
        </w:rPr>
        <w:t>Podstawa prawna:</w:t>
      </w:r>
      <w:r w:rsidRPr="00772D62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287620" w:rsidRPr="0054160A">
        <w:rPr>
          <w:rFonts w:asciiTheme="minorHAnsi" w:eastAsiaTheme="minorHAnsi" w:hAnsiTheme="minorHAnsi" w:cstheme="minorBidi"/>
          <w:sz w:val="22"/>
          <w:szCs w:val="22"/>
          <w:lang w:eastAsia="en-US"/>
        </w:rPr>
        <w:t>Art. 17 ust. 1 MAR - informacje poufne.</w:t>
      </w:r>
    </w:p>
    <w:p w14:paraId="11F628EF" w14:textId="77777777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</w:p>
    <w:p w14:paraId="7C0EA131" w14:textId="61F864E4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Treść:</w:t>
      </w:r>
    </w:p>
    <w:p w14:paraId="31B425AC" w14:textId="060C5173" w:rsidR="00287620" w:rsidRDefault="00022480" w:rsidP="006F4D20">
      <w:pPr>
        <w:spacing w:after="0" w:line="288" w:lineRule="auto"/>
        <w:jc w:val="both"/>
        <w:rPr>
          <w:szCs w:val="24"/>
        </w:rPr>
      </w:pPr>
      <w:r w:rsidRPr="00DC3440">
        <w:rPr>
          <w:szCs w:val="24"/>
        </w:rPr>
        <w:t xml:space="preserve">Zarząd spółki </w:t>
      </w:r>
      <w:proofErr w:type="spellStart"/>
      <w:r w:rsidRPr="003D1D43">
        <w:rPr>
          <w:szCs w:val="24"/>
        </w:rPr>
        <w:t>CreativeForge</w:t>
      </w:r>
      <w:proofErr w:type="spellEnd"/>
      <w:r w:rsidRPr="00801319">
        <w:rPr>
          <w:szCs w:val="24"/>
        </w:rPr>
        <w:t xml:space="preserve"> Games S.A. z siedzibą w </w:t>
      </w:r>
      <w:r w:rsidRPr="00407005">
        <w:rPr>
          <w:szCs w:val="24"/>
        </w:rPr>
        <w:t xml:space="preserve">Warszawie (dalej jako: Emitent, Spółka)  </w:t>
      </w:r>
      <w:r w:rsidR="00287620">
        <w:rPr>
          <w:szCs w:val="24"/>
        </w:rPr>
        <w:t xml:space="preserve">informuje, iż w dniu </w:t>
      </w:r>
      <w:r w:rsidR="007746D9">
        <w:rPr>
          <w:szCs w:val="24"/>
        </w:rPr>
        <w:t>3</w:t>
      </w:r>
      <w:r w:rsidR="00287620">
        <w:rPr>
          <w:szCs w:val="24"/>
        </w:rPr>
        <w:t xml:space="preserve"> </w:t>
      </w:r>
      <w:r w:rsidR="007746D9">
        <w:rPr>
          <w:szCs w:val="24"/>
        </w:rPr>
        <w:t>marca</w:t>
      </w:r>
      <w:r w:rsidR="00287620">
        <w:rPr>
          <w:szCs w:val="24"/>
        </w:rPr>
        <w:t xml:space="preserve"> 202</w:t>
      </w:r>
      <w:r w:rsidR="007746D9">
        <w:rPr>
          <w:szCs w:val="24"/>
        </w:rPr>
        <w:t>1</w:t>
      </w:r>
      <w:r w:rsidR="00287620">
        <w:rPr>
          <w:szCs w:val="24"/>
        </w:rPr>
        <w:t xml:space="preserve"> r. </w:t>
      </w:r>
      <w:r w:rsidR="007746D9">
        <w:rPr>
          <w:szCs w:val="24"/>
        </w:rPr>
        <w:t xml:space="preserve">powziął informację o zawarciu umowy ze </w:t>
      </w:r>
      <w:r w:rsidR="00287620">
        <w:rPr>
          <w:szCs w:val="24"/>
        </w:rPr>
        <w:t xml:space="preserve">spółką </w:t>
      </w:r>
      <w:r w:rsidR="007746D9">
        <w:t>PROCIDIS</w:t>
      </w:r>
      <w:r w:rsidR="008D4723">
        <w:rPr>
          <w:szCs w:val="24"/>
        </w:rPr>
        <w:t xml:space="preserve"> z siedzibą w </w:t>
      </w:r>
      <w:r w:rsidR="007746D9">
        <w:t>Neuilly-sur-Seine, Francja</w:t>
      </w:r>
      <w:r w:rsidR="007746D9">
        <w:rPr>
          <w:szCs w:val="24"/>
        </w:rPr>
        <w:t xml:space="preserve"> </w:t>
      </w:r>
      <w:r w:rsidR="00287620">
        <w:rPr>
          <w:szCs w:val="24"/>
        </w:rPr>
        <w:t>(</w:t>
      </w:r>
      <w:r w:rsidR="00287620" w:rsidRPr="00407005">
        <w:rPr>
          <w:szCs w:val="24"/>
        </w:rPr>
        <w:t>dalej jako:</w:t>
      </w:r>
      <w:r w:rsidR="00287620">
        <w:rPr>
          <w:szCs w:val="24"/>
        </w:rPr>
        <w:t xml:space="preserve"> </w:t>
      </w:r>
      <w:r w:rsidR="0080521F">
        <w:t>PROCIDIS</w:t>
      </w:r>
      <w:r w:rsidR="00287620">
        <w:rPr>
          <w:szCs w:val="24"/>
        </w:rPr>
        <w:t>).</w:t>
      </w:r>
    </w:p>
    <w:p w14:paraId="3DCB57F2" w14:textId="3CF9B8FA" w:rsidR="0080521F" w:rsidRDefault="0080521F" w:rsidP="006F4D20">
      <w:pPr>
        <w:spacing w:after="0" w:line="288" w:lineRule="auto"/>
        <w:jc w:val="both"/>
        <w:rPr>
          <w:szCs w:val="24"/>
        </w:rPr>
      </w:pPr>
    </w:p>
    <w:p w14:paraId="533A3565" w14:textId="52B8E5E4" w:rsidR="0080521F" w:rsidRDefault="0080521F" w:rsidP="0080521F">
      <w:pPr>
        <w:spacing w:after="0" w:line="288" w:lineRule="auto"/>
        <w:jc w:val="both"/>
        <w:rPr>
          <w:szCs w:val="24"/>
        </w:rPr>
      </w:pPr>
      <w:r>
        <w:t>PROCIDIS jest producentem serialu telewizyjnego pt.: „</w:t>
      </w:r>
      <w:proofErr w:type="spellStart"/>
      <w:r>
        <w:t>Once</w:t>
      </w:r>
      <w:proofErr w:type="spellEnd"/>
      <w:r>
        <w:t xml:space="preserve"> upon a Time… Life” (pol. „Było sobie życie</w:t>
      </w:r>
      <w:r w:rsidR="00AB706D">
        <w:t>”</w:t>
      </w:r>
      <w:r>
        <w:t>)</w:t>
      </w:r>
      <w:r w:rsidR="00A90DEA">
        <w:t>, na podstawie którego Emitent stworzy grę koncentrującą się na zdobywani</w:t>
      </w:r>
      <w:r w:rsidR="00976B89">
        <w:t>u</w:t>
      </w:r>
      <w:r w:rsidR="00A90DEA">
        <w:t xml:space="preserve"> </w:t>
      </w:r>
      <w:r w:rsidR="00652D06">
        <w:t xml:space="preserve">przez graczy </w:t>
      </w:r>
      <w:r w:rsidR="00A90DEA">
        <w:t>wiedzy o ludzkim ciele. Gra dostępna będzie w wersji na PC</w:t>
      </w:r>
      <w:r w:rsidR="00ED221A">
        <w:t xml:space="preserve">, Xbox, PlayStation oraz Switch </w:t>
      </w:r>
      <w:r w:rsidR="00A90DEA">
        <w:t xml:space="preserve">. </w:t>
      </w:r>
      <w:r w:rsidR="00976B89">
        <w:t>PROCIDIS</w:t>
      </w:r>
      <w:r w:rsidR="00976B89">
        <w:rPr>
          <w:szCs w:val="24"/>
        </w:rPr>
        <w:t xml:space="preserve">  udzieli Emitentowi wszelkich licencji niezbędnych </w:t>
      </w:r>
      <w:r w:rsidR="00976B89" w:rsidRPr="00A90DEA">
        <w:rPr>
          <w:szCs w:val="24"/>
        </w:rPr>
        <w:t>do realizacji umowy.</w:t>
      </w:r>
    </w:p>
    <w:p w14:paraId="4BAFB0B3" w14:textId="2E1AABC7" w:rsidR="008D4723" w:rsidRPr="00A90DEA" w:rsidRDefault="008D4723" w:rsidP="006F4D20">
      <w:pPr>
        <w:spacing w:after="0" w:line="288" w:lineRule="auto"/>
        <w:jc w:val="both"/>
        <w:rPr>
          <w:szCs w:val="24"/>
        </w:rPr>
      </w:pPr>
    </w:p>
    <w:p w14:paraId="4B54B419" w14:textId="1BCEE6B1" w:rsidR="00AB706D" w:rsidRPr="00A90DEA" w:rsidRDefault="00AB706D" w:rsidP="006F4D20">
      <w:pPr>
        <w:spacing w:after="0" w:line="288" w:lineRule="auto"/>
        <w:jc w:val="both"/>
        <w:rPr>
          <w:szCs w:val="24"/>
        </w:rPr>
      </w:pPr>
      <w:r w:rsidRPr="00A90DEA">
        <w:rPr>
          <w:szCs w:val="24"/>
        </w:rPr>
        <w:t xml:space="preserve">Zarząd </w:t>
      </w:r>
      <w:r w:rsidR="00600C32" w:rsidRPr="00A90DEA">
        <w:rPr>
          <w:szCs w:val="24"/>
        </w:rPr>
        <w:t>Spółki</w:t>
      </w:r>
      <w:r w:rsidRPr="00A90DEA">
        <w:rPr>
          <w:szCs w:val="24"/>
        </w:rPr>
        <w:t xml:space="preserve"> zakłada, że produkcja Gry zakończy się w</w:t>
      </w:r>
      <w:r w:rsidR="008D4723" w:rsidRPr="00A90DEA">
        <w:rPr>
          <w:szCs w:val="24"/>
        </w:rPr>
        <w:t xml:space="preserve"> 202</w:t>
      </w:r>
      <w:r w:rsidRPr="00A90DEA">
        <w:rPr>
          <w:szCs w:val="24"/>
        </w:rPr>
        <w:t>3</w:t>
      </w:r>
      <w:r w:rsidR="008D4723" w:rsidRPr="00A90DEA">
        <w:rPr>
          <w:szCs w:val="24"/>
        </w:rPr>
        <w:t xml:space="preserve"> r. </w:t>
      </w:r>
      <w:r w:rsidR="00600C32" w:rsidRPr="00A90DEA">
        <w:rPr>
          <w:szCs w:val="24"/>
        </w:rPr>
        <w:t xml:space="preserve">Głównym producentem Gry będzie spółka zależna od Emitenta - </w:t>
      </w:r>
      <w:proofErr w:type="spellStart"/>
      <w:r w:rsidR="00600C32" w:rsidRPr="00A90DEA">
        <w:rPr>
          <w:szCs w:val="24"/>
        </w:rPr>
        <w:t>SlavGames</w:t>
      </w:r>
      <w:proofErr w:type="spellEnd"/>
      <w:r w:rsidR="00600C32" w:rsidRPr="00A90DEA">
        <w:rPr>
          <w:szCs w:val="24"/>
        </w:rPr>
        <w:t xml:space="preserve"> sp. z o.o. z siedzibą w Warszawie.</w:t>
      </w:r>
    </w:p>
    <w:p w14:paraId="15F5A8F9" w14:textId="0C600A23" w:rsidR="006F4D20" w:rsidRPr="00A90DEA" w:rsidRDefault="006F4D20" w:rsidP="006F4D20">
      <w:pPr>
        <w:spacing w:after="0" w:line="288" w:lineRule="auto"/>
        <w:jc w:val="both"/>
        <w:rPr>
          <w:szCs w:val="24"/>
        </w:rPr>
      </w:pPr>
    </w:p>
    <w:p w14:paraId="31C47127" w14:textId="786870DF" w:rsidR="006F4D20" w:rsidRDefault="006F4D20" w:rsidP="006F4D20">
      <w:pPr>
        <w:spacing w:after="0" w:line="288" w:lineRule="auto"/>
        <w:jc w:val="both"/>
      </w:pPr>
      <w:r w:rsidRPr="00A90DEA">
        <w:t xml:space="preserve">Wysokość wynagrodzenia Emitenta z tytułu sprzedaży </w:t>
      </w:r>
      <w:r w:rsidR="00300A52" w:rsidRPr="00A90DEA">
        <w:t>Gry</w:t>
      </w:r>
      <w:r w:rsidRPr="00A90DEA">
        <w:t xml:space="preserve">, ze względu na specyfikę branży produkcji gier, na moment publikacji raportu jest niemożliwa do określenia lub oszacowania. Wynagrodzenie Spółki uzależnione jest od ilości sprzedanych egzemplarzy </w:t>
      </w:r>
      <w:r w:rsidR="00300A52" w:rsidRPr="00A90DEA">
        <w:t>G</w:t>
      </w:r>
      <w:r w:rsidRPr="00A90DEA">
        <w:t>ry, którą trudno przewidzieć.</w:t>
      </w:r>
    </w:p>
    <w:p w14:paraId="59BF0FC0" w14:textId="11CC1298" w:rsidR="007746D9" w:rsidRDefault="007746D9" w:rsidP="006F4D20">
      <w:pPr>
        <w:spacing w:after="0" w:line="288" w:lineRule="auto"/>
        <w:jc w:val="both"/>
      </w:pPr>
    </w:p>
    <w:p w14:paraId="551B895E" w14:textId="06C49A4A" w:rsidR="007F13AF" w:rsidRPr="006F4D20" w:rsidRDefault="007F13AF" w:rsidP="006F4D20">
      <w:pPr>
        <w:spacing w:after="0" w:line="288" w:lineRule="auto"/>
        <w:jc w:val="both"/>
        <w:rPr>
          <w:szCs w:val="24"/>
        </w:rPr>
      </w:pPr>
      <w:r w:rsidRPr="006F4D20">
        <w:rPr>
          <w:szCs w:val="24"/>
        </w:rPr>
        <w:t>Zarząd Emitenta zdecydował o publikacji powyższej informacji z uwagi na fakt, iż może mieć ona istotny wpływ na kształtowanie się sytuacji finansowej i majątkowej Emitenta oraz potencjalnie istotny wpływ na wycenę instrumentów finansowych Spółki notowanych w alternatywnym systemie obrotu.</w:t>
      </w:r>
    </w:p>
    <w:p w14:paraId="1C71C76C" w14:textId="77777777" w:rsidR="007F13AF" w:rsidRPr="006F4D20" w:rsidRDefault="007F13AF" w:rsidP="006F4D20">
      <w:pPr>
        <w:spacing w:after="0" w:line="288" w:lineRule="auto"/>
        <w:jc w:val="both"/>
        <w:rPr>
          <w:szCs w:val="24"/>
        </w:rPr>
      </w:pPr>
    </w:p>
    <w:p w14:paraId="1CA78CDF" w14:textId="44D615C6" w:rsidR="00287620" w:rsidRDefault="00287620" w:rsidP="00022480">
      <w:pPr>
        <w:spacing w:after="0" w:line="288" w:lineRule="auto"/>
        <w:jc w:val="both"/>
        <w:rPr>
          <w:szCs w:val="24"/>
        </w:rPr>
      </w:pPr>
    </w:p>
    <w:p w14:paraId="410DA02E" w14:textId="77777777" w:rsidR="006F4D20" w:rsidRDefault="006F4D20" w:rsidP="00772D62">
      <w:pPr>
        <w:spacing w:after="0" w:line="288" w:lineRule="auto"/>
        <w:jc w:val="both"/>
        <w:rPr>
          <w:szCs w:val="24"/>
        </w:rPr>
      </w:pPr>
    </w:p>
    <w:p w14:paraId="477CD120" w14:textId="2226AED3" w:rsidR="00772D62" w:rsidRDefault="00772D62" w:rsidP="00772D62">
      <w:pPr>
        <w:spacing w:after="0" w:line="288" w:lineRule="auto"/>
        <w:jc w:val="both"/>
        <w:rPr>
          <w:b/>
          <w:szCs w:val="24"/>
        </w:rPr>
      </w:pPr>
      <w:r>
        <w:rPr>
          <w:b/>
          <w:szCs w:val="24"/>
        </w:rPr>
        <w:t>Osoby reprezentujące Spółkę:</w:t>
      </w:r>
    </w:p>
    <w:p w14:paraId="1A6F855B" w14:textId="77777777" w:rsidR="00772D62" w:rsidRDefault="00772D62" w:rsidP="00772D62">
      <w:pPr>
        <w:spacing w:after="0" w:line="288" w:lineRule="auto"/>
        <w:jc w:val="both"/>
        <w:rPr>
          <w:szCs w:val="24"/>
        </w:rPr>
      </w:pPr>
    </w:p>
    <w:p w14:paraId="197E6C2D" w14:textId="63ADB9A0" w:rsidR="0080521F" w:rsidRDefault="005529DD" w:rsidP="0080521F">
      <w:pPr>
        <w:spacing w:after="0" w:line="288" w:lineRule="auto"/>
        <w:jc w:val="both"/>
      </w:pPr>
      <w:r>
        <w:rPr>
          <w:szCs w:val="24"/>
        </w:rPr>
        <w:t xml:space="preserve">Piotr Karbowski – Prezes Zarządu </w:t>
      </w:r>
    </w:p>
    <w:sectPr w:rsidR="0080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F6"/>
    <w:rsid w:val="00022480"/>
    <w:rsid w:val="000707EF"/>
    <w:rsid w:val="00287620"/>
    <w:rsid w:val="00300A52"/>
    <w:rsid w:val="00354B88"/>
    <w:rsid w:val="00393ED5"/>
    <w:rsid w:val="004224B1"/>
    <w:rsid w:val="00463BF6"/>
    <w:rsid w:val="004F557B"/>
    <w:rsid w:val="005529DD"/>
    <w:rsid w:val="00600C32"/>
    <w:rsid w:val="00652D06"/>
    <w:rsid w:val="006F4D20"/>
    <w:rsid w:val="00772D62"/>
    <w:rsid w:val="007746D9"/>
    <w:rsid w:val="00775805"/>
    <w:rsid w:val="007D545B"/>
    <w:rsid w:val="007F13AF"/>
    <w:rsid w:val="007F7AC9"/>
    <w:rsid w:val="0080521F"/>
    <w:rsid w:val="008D4723"/>
    <w:rsid w:val="0096428F"/>
    <w:rsid w:val="00976B89"/>
    <w:rsid w:val="00A90DEA"/>
    <w:rsid w:val="00AB706D"/>
    <w:rsid w:val="00AE2A73"/>
    <w:rsid w:val="00B337E8"/>
    <w:rsid w:val="00B34997"/>
    <w:rsid w:val="00B52293"/>
    <w:rsid w:val="00B62D48"/>
    <w:rsid w:val="00C83157"/>
    <w:rsid w:val="00C874B7"/>
    <w:rsid w:val="00CC5ADD"/>
    <w:rsid w:val="00DA3D93"/>
    <w:rsid w:val="00DF1494"/>
    <w:rsid w:val="00ED221A"/>
    <w:rsid w:val="00F542F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8947"/>
  <w15:chartTrackingRefBased/>
  <w15:docId w15:val="{0069DAA5-C755-4F56-A1E9-44811CEA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D62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2D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jlqj4b">
    <w:name w:val="jlqj4b"/>
    <w:basedOn w:val="Domylnaczcionkaakapitu"/>
    <w:rsid w:val="0080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Mateusz Zawadzki</cp:lastModifiedBy>
  <cp:revision>2</cp:revision>
  <dcterms:created xsi:type="dcterms:W3CDTF">2021-03-03T21:38:00Z</dcterms:created>
  <dcterms:modified xsi:type="dcterms:W3CDTF">2021-03-03T21:38:00Z</dcterms:modified>
</cp:coreProperties>
</file>